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pPr>
      <w:r>
        <w:rPr>
          <w:rFonts w:ascii="Segoe UI" w:hAnsi="Segoe UI" w:eastAsia="Times New Roman" w:cs="Segoe UI"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-334010</wp:posOffset>
                </wp:positionV>
                <wp:extent cx="2692553" cy="981075"/>
                <wp:effectExtent l="0" t="0" r="0" b="0"/>
                <wp:wrapNone/>
                <wp:docPr id="1" name="Рисунок 4" descr="C:\Users\ЗилаловаГП\Downloads\imgonline-com-ua-Resize-AxUH5qc9MGoX5H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60266098" name="Picture 2" descr="C:\Users\ЗилаловаГП\Downloads\imgonline-com-ua-Resize-AxUH5qc9MGoX5HD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692552" cy="9810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-12.75pt;mso-position-horizontal:absolute;mso-position-vertical-relative:text;margin-top:-26.30pt;mso-position-vertical:absolute;width:212.01pt;height:77.25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r>
    </w:p>
    <w:p>
      <w:pPr>
        <w:spacing w:after="0" w:line="240" w:lineRule="auto"/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pP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r>
    </w:p>
    <w:p>
      <w:pPr>
        <w:ind w:left="5664" w:firstLine="708"/>
        <w:jc w:val="center"/>
        <w:spacing w:after="0" w:line="240" w:lineRule="auto"/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pP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  <w:t xml:space="preserve">ПРЕСС-РЕЛИЗ</w:t>
      </w: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r>
      <w:r>
        <w:rPr>
          <w:rFonts w:ascii="Segoe UI" w:hAnsi="Segoe UI" w:eastAsia="Times New Roman" w:cs="Segoe UI"/>
          <w:b/>
          <w:bCs/>
          <w:sz w:val="32"/>
          <w:szCs w:val="32"/>
          <w:lang w:eastAsia="ru-RU"/>
        </w:rPr>
      </w:r>
    </w:p>
    <w:p>
      <w:pPr>
        <w:jc w:val="center"/>
        <w:rPr>
          <w:rFonts w:ascii="Segoe UI" w:hAnsi="Segoe UI" w:eastAsia="Segoe UI" w:cs="Segoe UI"/>
          <w:b/>
          <w:bCs/>
          <w:sz w:val="24"/>
          <w:szCs w:val="24"/>
          <w:highlight w:val="none"/>
        </w:rPr>
      </w:pP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</w:p>
    <w:p>
      <w:pPr>
        <w:jc w:val="center"/>
        <w:rPr>
          <w:rFonts w:ascii="Segoe UI" w:hAnsi="Segoe UI" w:eastAsia="Segoe UI" w:cs="Segoe UI"/>
          <w:b/>
          <w:bCs/>
          <w:sz w:val="24"/>
          <w:szCs w:val="24"/>
          <w:highlight w:val="none"/>
        </w:rPr>
      </w:pP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  <w:t xml:space="preserve">Свердловский Росреестр информирует об итогах кадастровых работ в рамках социальной газификации СНТ</w:t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sz w:val="24"/>
          <w:szCs w:val="24"/>
          <w:highlight w:val="none"/>
        </w:rPr>
      </w:r>
    </w:p>
    <w:p>
      <w:pPr>
        <w:ind w:left="0" w:right="0" w:firstLine="425"/>
        <w:jc w:val="both"/>
        <w:rPr>
          <w:rFonts w:ascii="Segoe UI" w:hAnsi="Segoe UI" w:eastAsia="Segoe UI" w:cs="Segoe UI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Социальная газификация </w:t>
      </w: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–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 э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то программа, позволяющая гражданам бесплатно подвести газ до границ своих участков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</w:rPr>
        <w:t xml:space="preserve"> в сельских населённых пунктах.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Для подключения к газовым сетям участок и 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дом должны быть поставлены на кадастровый учёт, а права на них </w:t>
      </w: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–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 зарегистрированы.</w:t>
      </w:r>
      <w:r>
        <w:rPr>
          <w:rFonts w:ascii="Segoe UI" w:hAnsi="Segoe UI" w:eastAsia="Segoe UI" w:cs="Segoe UI"/>
          <w:bCs w:val="0"/>
          <w:i w:val="0"/>
          <w:color w:val="000000" w:themeColor="text1"/>
          <w:sz w:val="24"/>
          <w:szCs w:val="24"/>
          <w:highlight w:val="none"/>
        </w:rPr>
      </w:r>
      <w:r>
        <w:rPr>
          <w:rFonts w:ascii="Segoe UI" w:hAnsi="Segoe UI" w:eastAsia="Segoe UI" w:cs="Segoe UI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425"/>
        <w:jc w:val="both"/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</w:pP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П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ри проведении комплексных кадастровых работ устанавливается точное местоположение (определение координат) всех земельных участков, зданий и сооружений, содержащихся в Едином государственном реестре недвижимости. 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rPr>
          <w:rStyle w:val="840"/>
          <w:rFonts w:ascii="Segoe UI" w:hAnsi="Segoe UI" w:eastAsia="Segoe UI" w:cs="Segoe UI"/>
          <w:color w:val="000000"/>
          <w:sz w:val="24"/>
          <w:szCs w:val="24"/>
          <w:highlight w:val="none"/>
          <w:shd w:val="clear" w:color="auto" w:fill="ffffff"/>
        </w:rPr>
      </w:pPr>
      <w:r>
        <w:rPr>
          <w:rFonts w:ascii="Segoe UI" w:hAnsi="Segoe UI" w:eastAsia="Segoe UI" w:cs="Segoe UI"/>
          <w:i/>
          <w:iCs/>
          <w:color w:val="000000" w:themeColor="text1"/>
          <w:sz w:val="24"/>
          <w:szCs w:val="24"/>
          <w:highlight w:val="yellow"/>
        </w:rPr>
      </w:r>
      <w:r>
        <w:rPr>
          <w:rFonts w:ascii="Segoe UI" w:hAnsi="Segoe UI" w:eastAsia="Segoe UI" w:cs="Segoe UI"/>
          <w:i/>
          <w:iCs/>
          <w:color w:val="000000" w:themeColor="text1"/>
          <w:sz w:val="24"/>
          <w:szCs w:val="24"/>
          <w:highlight w:val="none"/>
        </w:rPr>
        <w:t xml:space="preserve">«</w:t>
      </w:r>
      <w:r>
        <w:rPr>
          <w:rFonts w:ascii="Segoe UI" w:hAnsi="Segoe UI" w:eastAsia="Segoe UI" w:cs="Segoe UI"/>
          <w:i/>
          <w:iCs/>
          <w:color w:val="000000"/>
          <w:sz w:val="24"/>
          <w:szCs w:val="24"/>
          <w:highlight w:val="none"/>
          <w:shd w:val="clear" w:color="auto" w:fill="ffffff"/>
        </w:rPr>
        <w:t xml:space="preserve">В 2025 году на территории Свердловской области проведены комплексные кадастровые работы в отношении 31 СНТ, включенных в план-график по газификации на территории города Екатеринбурга, Нижний Тагил, Верхняя Пышма, Первоуральск</w:t>
      </w:r>
      <w:r>
        <w:rPr>
          <w:rFonts w:ascii="Segoe UI" w:hAnsi="Segoe UI" w:eastAsia="Segoe UI" w:cs="Segoe UI"/>
          <w:i/>
          <w:iCs/>
          <w:color w:val="000000" w:themeColor="text1"/>
          <w:sz w:val="24"/>
          <w:szCs w:val="24"/>
          <w:highlight w:val="none"/>
        </w:rPr>
        <w:t xml:space="preserve">»</w:t>
      </w:r>
      <w:r>
        <w:rPr>
          <w:rFonts w:ascii="Segoe UI" w:hAnsi="Segoe UI" w:eastAsia="Segoe UI" w:cs="Segoe UI"/>
          <w:i/>
          <w:iCs/>
          <w:color w:val="000000" w:themeColor="text1"/>
          <w:sz w:val="24"/>
          <w:szCs w:val="24"/>
          <w:highlight w:val="none"/>
        </w:rPr>
        <w:t xml:space="preserve">,</w:t>
      </w:r>
      <w:r>
        <w:rPr>
          <w:rFonts w:ascii="Segoe UI" w:hAnsi="Segoe UI" w:eastAsia="Segoe UI" w:cs="Segoe UI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–</w:t>
      </w:r>
      <w:r>
        <w:rPr>
          <w:rFonts w:ascii="Segoe UI" w:hAnsi="Segoe UI" w:eastAsia="Segoe UI" w:cs="Segoe UI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Segoe UI" w:hAnsi="Segoe UI" w:eastAsia="Segoe UI" w:cs="Segoe UI"/>
          <w:color w:val="000000" w:themeColor="text1"/>
          <w:sz w:val="24"/>
          <w:szCs w:val="24"/>
          <w:highlight w:val="none"/>
        </w:rPr>
        <w:t xml:space="preserve">отметила </w:t>
      </w:r>
      <w:r>
        <w:rPr>
          <w:rFonts w:ascii="Segoe UI" w:hAnsi="Segoe UI" w:eastAsia="Segoe UI" w:cs="Segoe UI"/>
          <w:color w:val="000000" w:themeColor="text1"/>
          <w:sz w:val="24"/>
          <w:szCs w:val="24"/>
          <w:highlight w:val="none"/>
        </w:rPr>
        <w:t xml:space="preserve">заместитель руководителя Управления Росреестра по Свердловской области</w:t>
      </w:r>
      <w:r>
        <w:rPr>
          <w:rFonts w:ascii="Segoe UI" w:hAnsi="Segoe UI" w:eastAsia="Segoe UI" w:cs="Segoe UI"/>
          <w:color w:val="000000" w:themeColor="text1"/>
          <w:sz w:val="24"/>
          <w:szCs w:val="24"/>
          <w:highlight w:val="none"/>
        </w:rPr>
        <w:t xml:space="preserve"> </w:t>
      </w:r>
      <w:r>
        <w:rPr>
          <w:rStyle w:val="840"/>
          <w:rFonts w:ascii="Segoe UI" w:hAnsi="Segoe UI" w:eastAsia="Segoe UI" w:cs="Segoe UI"/>
          <w:bCs w:val="0"/>
          <w:color w:val="000000"/>
          <w:sz w:val="24"/>
          <w:szCs w:val="24"/>
          <w:shd w:val="clear" w:color="auto" w:fill="ffffff"/>
        </w:rPr>
        <w:t xml:space="preserve">Татьяна </w:t>
      </w:r>
      <w:r>
        <w:rPr>
          <w:rStyle w:val="840"/>
          <w:rFonts w:ascii="Segoe UI" w:hAnsi="Segoe UI" w:eastAsia="Segoe UI" w:cs="Segoe UI"/>
          <w:bCs w:val="0"/>
          <w:color w:val="000000"/>
          <w:sz w:val="24"/>
          <w:szCs w:val="24"/>
          <w:shd w:val="clear" w:color="auto" w:fill="ffffff"/>
        </w:rPr>
        <w:t xml:space="preserve">Янтюшева.</w:t>
      </w:r>
      <w:r>
        <w:rPr>
          <w:highlight w:val="none"/>
          <w:shd w:val="clear" w:color="auto" w:fill="ffffff"/>
        </w:rPr>
      </w:r>
      <w:r>
        <w:rPr>
          <w:rStyle w:val="840"/>
          <w:rFonts w:ascii="Segoe UI" w:hAnsi="Segoe UI" w:eastAsia="Segoe UI" w:cs="Segoe UI"/>
          <w:color w:val="000000"/>
          <w:sz w:val="24"/>
          <w:szCs w:val="24"/>
          <w:highlight w:val="none"/>
          <w:shd w:val="clear" w:color="auto" w:fill="ffffff"/>
        </w:rPr>
      </w:r>
    </w:p>
    <w:p>
      <w:pPr>
        <w:contextualSpacing/>
        <w:ind w:firstLine="709"/>
        <w:jc w:val="both"/>
        <w:rPr>
          <w:highlight w:val="none"/>
        </w:rPr>
      </w:pPr>
      <w:r>
        <w:rPr>
          <w:rStyle w:val="840"/>
          <w:rFonts w:ascii="Segoe UI" w:hAnsi="Segoe UI" w:eastAsia="Segoe UI" w:cs="Segoe UI"/>
          <w:bCs w:val="0"/>
          <w:color w:val="000000"/>
          <w:sz w:val="24"/>
          <w:szCs w:val="24"/>
          <w:highlight w:val="none"/>
          <w:shd w:val="clear" w:color="auto" w:fill="ffffff"/>
        </w:rPr>
      </w:r>
      <w:r>
        <w:rPr>
          <w:rStyle w:val="840"/>
          <w:rFonts w:ascii="Segoe UI" w:hAnsi="Segoe UI" w:eastAsia="Segoe UI" w:cs="Segoe UI"/>
          <w:bCs w:val="0"/>
          <w:color w:val="000000"/>
          <w:sz w:val="24"/>
          <w:szCs w:val="24"/>
          <w:highlight w:val="none"/>
          <w:shd w:val="clear" w:color="auto" w:fill="ffffff"/>
        </w:rPr>
      </w:r>
      <w:r>
        <w:rPr>
          <w:highlight w:val="none"/>
        </w:rPr>
      </w:r>
    </w:p>
    <w:p>
      <w:pPr>
        <w:ind w:left="0" w:right="0" w:firstLine="425"/>
        <w:jc w:val="both"/>
        <w:rPr>
          <w:rFonts w:ascii="Segoe UI" w:hAnsi="Segoe UI" w:eastAsia="Segoe UI" w:cs="Segoe UI"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Segoe UI" w:hAnsi="Segoe UI" w:eastAsia="Segoe UI" w:cs="Segoe UI"/>
          <w:i w:val="0"/>
          <w:iCs w:val="0"/>
          <w:color w:val="c00000"/>
          <w:sz w:val="24"/>
          <w:szCs w:val="24"/>
          <w:highlight w:val="none"/>
        </w:rPr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</w:rPr>
        <w:t xml:space="preserve">Заказать кадастровые работы в режиме онлайн и направить заявление о регистрации прав можно с помощью специального сервиса</w:t>
      </w:r>
      <w:r>
        <w:rPr>
          <w:rFonts w:ascii="Segoe UI" w:hAnsi="Segoe UI" w:eastAsia="Segoe UI" w:cs="Segoe UI"/>
          <w:i w:val="0"/>
          <w:iCs w:val="0"/>
          <w:color w:val="292c2f"/>
          <w:sz w:val="24"/>
          <w:szCs w:val="24"/>
        </w:rPr>
        <w:t xml:space="preserve"> </w:t>
      </w:r>
      <w:hyperlink r:id="rId10" w:tooltip="https://kadastr.ru/services/sotsialnaya-gazifikatsiya-snt/" w:history="1">
        <w:r>
          <w:rPr>
            <w:rStyle w:val="816"/>
            <w:rFonts w:ascii="Segoe UI" w:hAnsi="Segoe UI" w:eastAsia="Segoe UI" w:cs="Segoe UI"/>
            <w:i w:val="0"/>
            <w:iCs w:val="0"/>
            <w:color w:val="0000ee"/>
            <w:sz w:val="24"/>
            <w:szCs w:val="24"/>
            <w:u w:val="single"/>
          </w:rPr>
          <w:t xml:space="preserve">«Социальная газификация СНТ»</w:t>
        </w:r>
      </w:hyperlink>
      <w:r>
        <w:rPr>
          <w:rFonts w:ascii="Segoe UI" w:hAnsi="Segoe UI" w:eastAsia="Segoe UI" w:cs="Segoe UI"/>
          <w:i w:val="0"/>
          <w:iCs w:val="0"/>
          <w:color w:val="292c2f"/>
          <w:sz w:val="24"/>
          <w:szCs w:val="24"/>
        </w:rPr>
        <w:t xml:space="preserve"> 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</w:rPr>
        <w:t xml:space="preserve">на сайте ППК «Роскадастр». 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</w:rPr>
        <w:t xml:space="preserve">Сегодня эта процедура выполняется максимально удобно и под ключ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</w:rPr>
        <w:t xml:space="preserve">.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Segoe UI" w:hAnsi="Segoe UI" w:eastAsia="Segoe UI" w:cs="Segoe UI"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ind w:left="0" w:right="0" w:firstLine="425"/>
        <w:jc w:val="both"/>
        <w:rPr>
          <w:rFonts w:ascii="Segoe UI" w:hAnsi="Segoe UI" w:eastAsia="Segoe UI" w:cs="Segoe UI"/>
          <w:sz w:val="24"/>
          <w:szCs w:val="24"/>
          <w:highlight w:val="none"/>
        </w:rPr>
      </w:pPr>
      <w:r>
        <w:rPr>
          <w:rFonts w:ascii="Segoe UI" w:hAnsi="Segoe UI" w:eastAsia="Segoe UI" w:cs="Segoe UI"/>
          <w:sz w:val="24"/>
          <w:szCs w:val="24"/>
          <w:highlight w:val="none"/>
        </w:rPr>
        <w:t xml:space="preserve">Всю необходимую информацию об условиях и конкретных шагах для участия в программе можно посмотреть в </w:t>
      </w:r>
      <w:hyperlink r:id="rId11" w:tooltip="https://rosreestr.gov.ru/open-service/obzor-zakonov-o-nedvizhimosti/shagi-dlya-dogazifikatsii-zhilykh-domov-v-snt/" w:history="1">
        <w:r>
          <w:rPr>
            <w:rStyle w:val="816"/>
            <w:rFonts w:ascii="Segoe UI" w:hAnsi="Segoe UI" w:eastAsia="Segoe UI" w:cs="Segoe UI"/>
            <w:color w:val="0000ee"/>
            <w:sz w:val="24"/>
            <w:szCs w:val="24"/>
            <w:u w:val="single"/>
          </w:rPr>
          <w:t xml:space="preserve">путеводителе</w:t>
        </w:r>
      </w:hyperlink>
      <w:r>
        <w:rPr>
          <w:rFonts w:ascii="Segoe UI" w:hAnsi="Segoe UI" w:eastAsia="Segoe UI" w:cs="Segoe UI"/>
          <w:sz w:val="24"/>
          <w:szCs w:val="24"/>
          <w:highlight w:val="none"/>
        </w:rPr>
        <w:t xml:space="preserve"> на сайте Росреестра.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Там же можно найти ответы на часто задаваемые вопросы граждан </w:t>
      </w:r>
      <w:r>
        <w:rPr>
          <w:rFonts w:ascii="Segoe UI" w:hAnsi="Segoe UI" w:eastAsia="Segoe UI" w:cs="Segoe UI"/>
          <w:color w:val="000000" w:themeColor="text1"/>
          <w:sz w:val="24"/>
          <w:szCs w:val="24"/>
        </w:rPr>
        <w:t xml:space="preserve">в разделе</w:t>
      </w:r>
      <w:r>
        <w:rPr>
          <w:rFonts w:ascii="Segoe UI" w:hAnsi="Segoe UI" w:eastAsia="Segoe UI" w:cs="Segoe UI"/>
          <w:color w:val="292c2f"/>
          <w:sz w:val="24"/>
          <w:szCs w:val="24"/>
        </w:rPr>
        <w:t xml:space="preserve"> </w:t>
      </w:r>
      <w:hyperlink r:id="rId12" w:tooltip="https://rosreestr.gov.ru/open-service/obzor-zakonov-o-nedvizhimosti/shagi-dlya-dogazifikatsii-zhilykh-domov-v-snt/" w:history="1">
        <w:r>
          <w:rPr>
            <w:rStyle w:val="816"/>
            <w:rFonts w:ascii="Segoe UI" w:hAnsi="Segoe UI" w:eastAsia="Segoe UI" w:cs="Segoe UI"/>
            <w:sz w:val="24"/>
            <w:szCs w:val="24"/>
          </w:rPr>
          <w:t xml:space="preserve">«Программа социальной догазификации».</w:t>
        </w:r>
        <w:r>
          <w:rPr>
            <w:rStyle w:val="816"/>
          </w:rPr>
        </w:r>
        <w:r>
          <w:rPr>
            <w:rStyle w:val="816"/>
            <w:rFonts w:ascii="Segoe UI" w:hAnsi="Segoe UI" w:eastAsia="Segoe UI" w:cs="Segoe UI"/>
            <w:sz w:val="24"/>
            <w:szCs w:val="24"/>
            <w:highlight w:val="none"/>
          </w:rPr>
        </w:r>
        <w:r>
          <w:rPr>
            <w:rStyle w:val="816"/>
            <w:rFonts w:ascii="Segoe UI" w:hAnsi="Segoe UI" w:eastAsia="Segoe UI" w:cs="Segoe UI"/>
            <w:sz w:val="24"/>
            <w:szCs w:val="24"/>
            <w:highlight w:val="none"/>
          </w:rPr>
        </w:r>
      </w:hyperlink>
      <w:r>
        <w:rPr>
          <w:rFonts w:ascii="Segoe UI" w:hAnsi="Segoe UI" w:eastAsia="Segoe UI" w:cs="Segoe UI"/>
          <w:sz w:val="24"/>
          <w:szCs w:val="24"/>
          <w:highlight w:val="none"/>
        </w:rPr>
      </w:r>
      <w:r>
        <w:rPr>
          <w:rFonts w:ascii="Segoe UI" w:hAnsi="Segoe UI" w:eastAsia="Segoe UI" w:cs="Segoe UI"/>
          <w:sz w:val="24"/>
          <w:szCs w:val="24"/>
          <w:highlight w:val="none"/>
        </w:rPr>
      </w:r>
    </w:p>
    <w:p>
      <w:pPr>
        <w:ind w:left="0" w:right="0" w:firstLine="425"/>
        <w:jc w:val="both"/>
        <w:rPr>
          <w:highlight w:val="none"/>
        </w:rPr>
      </w:pPr>
      <w:r>
        <w:rPr>
          <w:rFonts w:ascii="Segoe UI" w:hAnsi="Segoe UI" w:eastAsia="Segoe UI" w:cs="Segoe UI"/>
          <w:i/>
          <w:iCs/>
          <w:sz w:val="24"/>
          <w:szCs w:val="24"/>
          <w:highlight w:val="none"/>
        </w:rPr>
        <w:t xml:space="preserve">«Хотим обратить внимание садоводов: принятие решения о газификации территории на общем собрании не предполагает обязательной газификации всех участков. </w:t>
      </w:r>
      <w:r>
        <w:rPr>
          <w:rFonts w:ascii="Segoe UI" w:hAnsi="Segoe UI" w:eastAsia="Segoe UI" w:cs="Segoe UI"/>
          <w:i/>
          <w:iCs/>
          <w:sz w:val="24"/>
          <w:szCs w:val="24"/>
          <w:highlight w:val="none"/>
        </w:rPr>
        <w:t xml:space="preserve">Проведение газовой трубы до границ участка выполняется в рамках коллективного решения, в то время как подключение на территории конкретного участка осуществляется исключительно по заявлению собственника, так как газификация носит заявительный характер</w:t>
      </w:r>
      <w:r>
        <w:rPr>
          <w:rFonts w:ascii="Segoe UI" w:hAnsi="Segoe UI" w:eastAsia="Segoe UI" w:cs="Segoe UI"/>
          <w:i/>
          <w:iCs/>
          <w:sz w:val="24"/>
          <w:szCs w:val="24"/>
          <w:highlight w:val="none"/>
        </w:rPr>
        <w:t xml:space="preserve">»</w:t>
      </w: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  <w:t xml:space="preserve">, – отметила председатель «Союза садоводов Екатеринбурга и Свердловской области» </w:t>
      </w:r>
      <w:r>
        <w:rPr>
          <w:rFonts w:ascii="Segoe UI" w:hAnsi="Segoe UI" w:eastAsia="Segoe UI" w:cs="Segoe UI"/>
          <w:b/>
          <w:bCs/>
          <w:color w:val="000000"/>
          <w:sz w:val="24"/>
          <w:szCs w:val="24"/>
          <w:highlight w:val="none"/>
        </w:rPr>
        <w:t xml:space="preserve">Надежда Локтионова.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425"/>
        <w:jc w:val="both"/>
        <w:rPr>
          <w:rFonts w:ascii="Segoe UI" w:hAnsi="Segoe UI" w:eastAsia="Segoe UI" w:cs="Segoe UI"/>
          <w:color w:val="000000"/>
          <w:sz w:val="24"/>
          <w:szCs w:val="24"/>
          <w:highlight w:val="none"/>
        </w:rPr>
      </w:pP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</w:rPr>
        <w:t xml:space="preserve">Напомним, что программа социальной газификации начала действовать с 2021 года по поручению Президента РФ и Правительства России. </w:t>
      </w:r>
      <w:r>
        <w:rPr>
          <w:rFonts w:ascii="Segoe UI" w:hAnsi="Segoe UI" w:eastAsia="Segoe UI" w:cs="Segoe UI"/>
          <w:i w:val="0"/>
          <w:iCs w:val="0"/>
          <w:color w:val="000000" w:themeColor="text1"/>
          <w:sz w:val="24"/>
          <w:szCs w:val="24"/>
          <w:highlight w:val="none"/>
        </w:rPr>
        <w:t xml:space="preserve">В 2024 году её действие было расширено на СНТ, расположенные в границах уже газифицированных населённых пунктов. </w:t>
      </w: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</w: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</w:r>
    </w:p>
    <w:p>
      <w:pPr>
        <w:jc w:val="both"/>
        <w:spacing w:before="0" w:beforeAutospacing="0" w:after="0" w:line="240" w:lineRule="auto"/>
        <w:rPr>
          <w:rFonts w:ascii="Segoe UI" w:hAnsi="Segoe UI" w:cs="Segoe UI" w:eastAsiaTheme="minorEastAsia"/>
          <w:sz w:val="24"/>
          <w:szCs w:val="24"/>
          <w:lang w:eastAsia="ru-RU"/>
        </w:rPr>
      </w:pPr>
      <w:r>
        <w:rPr>
          <w:rFonts w:cs="Times New Roman" w:eastAsiaTheme="minorEastAsia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3951369905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67945</wp:posOffset>
                </wp:positionV>
                <wp:extent cx="6000750" cy="0"/>
                <wp:effectExtent l="0" t="0" r="19050" b="19050"/>
                <wp:wrapNone/>
                <wp:docPr id="2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32" type="#_x0000_t32" style="position:absolute;z-index:251661312;o:allowoverlap:true;o:allowincell:true;mso-position-horizontal-relative:margin;mso-position-horizontal:right;mso-position-vertical-relative:text;margin-top:5.35pt;mso-position-vertical:absolute;width:472.50pt;height:0.00pt;mso-wrap-distance-left:9.00pt;mso-wrap-distance-top:0.00pt;mso-wrap-distance-right:9.00pt;mso-wrap-distance-bottom:-169093.20pt;visibility:visible;" filled="f" strokecolor="#0070C0" strokeweight="1.25pt"/>
            </w:pict>
          </mc:Fallback>
        </mc:AlternateContent>
      </w:r>
      <w:r>
        <w:rPr>
          <w:rFonts w:ascii="Segoe UI" w:hAnsi="Segoe UI" w:cs="Segoe UI" w:eastAsiaTheme="minorEastAsia"/>
          <w:sz w:val="24"/>
          <w:szCs w:val="24"/>
          <w:lang w:eastAsia="ru-RU"/>
        </w:rPr>
      </w:r>
      <w:r>
        <w:rPr>
          <w:rFonts w:ascii="Segoe UI" w:hAnsi="Segoe UI" w:cs="Segoe UI" w:eastAsiaTheme="minorEastAsia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Segoe UI" w:hAnsi="Segoe UI" w:cs="Segoe UI" w:eastAsiaTheme="minorEastAsia"/>
          <w:b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b/>
          <w:sz w:val="18"/>
          <w:szCs w:val="18"/>
          <w:lang w:eastAsia="ru-RU"/>
        </w:rPr>
        <w:t xml:space="preserve">Контакты для СМИ</w:t>
      </w:r>
      <w:r>
        <w:rPr>
          <w:rFonts w:ascii="Segoe UI" w:hAnsi="Segoe UI" w:cs="Segoe UI" w:eastAsiaTheme="minorEastAsia"/>
          <w:b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b/>
          <w:sz w:val="18"/>
          <w:szCs w:val="18"/>
          <w:lang w:eastAsia="ru-RU"/>
        </w:rPr>
      </w:r>
    </w:p>
    <w:p>
      <w:pPr>
        <w:spacing w:after="0" w:line="240" w:lineRule="auto"/>
        <w:shd w:val="clear" w:color="auto" w:fill="ffffff"/>
        <w:rPr>
          <w:rFonts w:ascii="Segoe UI" w:hAnsi="Segoe UI" w:cs="Segoe UI" w:eastAsiaTheme="minorEastAsia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sz w:val="18"/>
          <w:szCs w:val="18"/>
          <w:lang w:eastAsia="ru-RU"/>
        </w:rPr>
        <w:t xml:space="preserve">Пресс-служба Управления Росреестра по Свердловской области </w:t>
      </w:r>
      <w:r>
        <w:rPr>
          <w:rFonts w:ascii="Segoe UI" w:hAnsi="Segoe UI" w:cs="Segoe UI" w:eastAsiaTheme="minorEastAsia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sz w:val="18"/>
          <w:szCs w:val="18"/>
          <w:lang w:eastAsia="ru-RU"/>
        </w:rPr>
        <w:t xml:space="preserve">+7 343</w:t>
      </w:r>
      <w:r>
        <w:rPr>
          <w:rFonts w:ascii="Segoe UI" w:hAnsi="Segoe UI" w:cs="Segoe UI" w:eastAsiaTheme="minorEastAsia"/>
          <w:sz w:val="18"/>
          <w:szCs w:val="18"/>
          <w:lang w:val="en-US" w:eastAsia="ru-RU"/>
        </w:rPr>
        <w:t xml:space="preserve"> </w:t>
      </w:r>
      <w:r>
        <w:rPr>
          <w:rFonts w:ascii="Segoe UI" w:hAnsi="Segoe UI" w:cs="Segoe UI" w:eastAsiaTheme="minorEastAsia"/>
          <w:sz w:val="18"/>
          <w:szCs w:val="18"/>
          <w:lang w:eastAsia="ru-RU"/>
        </w:rPr>
        <w:t xml:space="preserve">375 40 </w:t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  <w:t xml:space="preserve">81 </w:t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/>
      <w:hyperlink r:id="rId13" w:tooltip="mailto::press66_rosreestr@mail.ru" w:history="1"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press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eastAsia="ru-RU"/>
          </w:rPr>
          <w:t xml:space="preserve">66_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rosreestr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eastAsia="ru-RU"/>
          </w:rPr>
          <w:t xml:space="preserve">@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mail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00"/>
            <w:sz w:val="18"/>
            <w:szCs w:val="18"/>
            <w:u w:val="single"/>
            <w:lang w:val="en-US" w:eastAsia="ru-RU"/>
          </w:rPr>
          <w:t xml:space="preserve">ru</w:t>
        </w:r>
      </w:hyperlink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/>
      <w:hyperlink r:id="rId14" w:tooltip="http://www.rosreestr.gov.ru" w:history="1"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www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rosreestr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gov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eastAsia="ru-RU"/>
          </w:rPr>
          <w:t xml:space="preserve">.</w:t>
        </w:r>
        <w:r>
          <w:rPr>
            <w:rFonts w:ascii="Segoe UI" w:hAnsi="Segoe UI" w:cs="Segoe UI" w:eastAsiaTheme="minorEastAsia"/>
            <w:color w:val="0000ff"/>
            <w:sz w:val="18"/>
            <w:szCs w:val="18"/>
            <w:u w:val="single"/>
            <w:lang w:val="en-US" w:eastAsia="ru-RU"/>
          </w:rPr>
          <w:t xml:space="preserve">ru</w:t>
        </w:r>
      </w:hyperlink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jc w:val="both"/>
        <w:spacing w:after="0" w:line="240" w:lineRule="auto"/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pP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  <w:t xml:space="preserve">620062, г. Екатеринбург, ул. Генеральская, 6 а.</w:t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  <w:r>
        <w:rPr>
          <w:rFonts w:ascii="Segoe UI" w:hAnsi="Segoe UI" w:cs="Segoe UI" w:eastAsiaTheme="minorEastAsia"/>
          <w:color w:val="000000"/>
          <w:sz w:val="18"/>
          <w:szCs w:val="18"/>
          <w:lang w:eastAsia="ru-RU"/>
        </w:rPr>
      </w:r>
    </w:p>
    <w:p>
      <w:pPr>
        <w:ind w:firstLine="708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  <w:r>
        <w:rPr>
          <w:rFonts w:ascii="Segoe UI" w:hAnsi="Segoe UI" w:cs="Segoe UI"/>
          <w:sz w:val="24"/>
          <w:szCs w:val="24"/>
        </w:rPr>
      </w:r>
    </w:p>
    <w:p>
      <w:pPr>
        <w:ind w:left="0" w:right="0" w:firstLine="425"/>
        <w:jc w:val="both"/>
        <w:rPr>
          <w:rFonts w:ascii="Segoe UI" w:hAnsi="Segoe UI" w:eastAsia="Segoe UI" w:cs="Segoe UI"/>
          <w:b/>
          <w:bCs/>
          <w:color w:val="000000"/>
          <w:sz w:val="24"/>
          <w:szCs w:val="24"/>
          <w:highlight w:val="cyan"/>
        </w:rPr>
      </w:pPr>
      <w:r>
        <w:rPr>
          <w:rFonts w:ascii="Segoe UI" w:hAnsi="Segoe UI" w:eastAsia="Segoe UI" w:cs="Segoe UI"/>
          <w:color w:val="000000"/>
          <w:sz w:val="24"/>
          <w:szCs w:val="24"/>
          <w:highlight w:val="none"/>
        </w:rPr>
      </w:r>
      <w:r>
        <w:rPr>
          <w:rFonts w:ascii="Segoe UI" w:hAnsi="Segoe UI" w:eastAsia="Segoe UI" w:cs="Segoe UI"/>
          <w:b/>
          <w:bCs/>
          <w:color w:val="000000"/>
          <w:sz w:val="24"/>
          <w:szCs w:val="24"/>
          <w:highlight w:val="cyan"/>
        </w:rPr>
      </w:r>
      <w:r>
        <w:rPr>
          <w:rFonts w:ascii="Segoe UI" w:hAnsi="Segoe UI" w:eastAsia="Segoe UI" w:cs="Segoe UI"/>
          <w:b/>
          <w:bCs/>
          <w:color w:val="000000"/>
          <w:sz w:val="24"/>
          <w:szCs w:val="24"/>
          <w:highlight w:val="cyan"/>
        </w:rPr>
      </w:r>
    </w:p>
    <w:p>
      <w:pPr>
        <w:ind w:left="0" w:right="0" w:firstLine="425"/>
        <w:jc w:val="both"/>
        <w:rPr>
          <w:rFonts w:ascii="Segoe UI" w:hAnsi="Segoe UI" w:eastAsia="Segoe UI" w:cs="Segoe UI"/>
          <w:sz w:val="24"/>
          <w:szCs w:val="24"/>
          <w:highlight w:val="none"/>
        </w:rPr>
      </w:pPr>
      <w:r>
        <w:rPr>
          <w:rFonts w:ascii="PT Sans" w:hAnsi="PT Sans" w:eastAsia="PT Sans" w:cs="PT Sans"/>
          <w:color w:val="000000"/>
          <w:sz w:val="27"/>
          <w:highlight w:val="none"/>
        </w:rPr>
      </w:r>
      <w:r>
        <w:rPr>
          <w:rFonts w:ascii="Segoe UI" w:hAnsi="Segoe UI" w:eastAsia="Segoe UI" w:cs="Segoe UI"/>
          <w:sz w:val="24"/>
          <w:szCs w:val="24"/>
          <w:highlight w:val="none"/>
        </w:rPr>
      </w:r>
      <w:r>
        <w:rPr>
          <w:rFonts w:ascii="Segoe UI" w:hAnsi="Segoe UI" w:eastAsia="Segoe UI" w:cs="Segoe UI"/>
          <w:sz w:val="24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PT Sans">
    <w:panose1 w:val="020B050302020302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Arial" w:hAnsi="Arial" w:eastAsia="Arial" w:cs="Arial"/>
        <w:color w:val="000000"/>
        <w:spacing w:val="3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4"/>
    <w:next w:val="834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4"/>
    <w:next w:val="834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4"/>
    <w:next w:val="834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No Spacing"/>
    <w:basedOn w:val="834"/>
    <w:uiPriority w:val="1"/>
    <w:qFormat/>
    <w:pPr>
      <w:spacing w:after="0" w:line="240" w:lineRule="auto"/>
    </w:pPr>
  </w:style>
  <w:style w:type="paragraph" w:styleId="838">
    <w:name w:val="List Paragraph"/>
    <w:basedOn w:val="834"/>
    <w:uiPriority w:val="34"/>
    <w:qFormat/>
    <w:pPr>
      <w:contextualSpacing/>
      <w:ind w:left="720"/>
    </w:pPr>
  </w:style>
  <w:style w:type="character" w:styleId="839" w:default="1">
    <w:name w:val="Default Paragraph Font"/>
    <w:uiPriority w:val="1"/>
    <w:semiHidden/>
    <w:unhideWhenUsed/>
  </w:style>
  <w:style w:type="character" w:styleId="840" w:customStyle="1">
    <w:name w:val="Strong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kadastr.ru/services/sotsialnaya-gazifikatsiya-snt/" TargetMode="External"/><Relationship Id="rId11" Type="http://schemas.openxmlformats.org/officeDocument/2006/relationships/hyperlink" Target="https://rosreestr.gov.ru/open-service/obzor-zakonov-o-nedvizhimosti/shagi-dlya-dogazifikatsii-zhilykh-domov-v-snt/" TargetMode="External"/><Relationship Id="rId12" Type="http://schemas.openxmlformats.org/officeDocument/2006/relationships/hyperlink" Target="https://rosreestr.gov.ru/open-service/obzor-zakonov-o-nedvizhimosti/shagi-dlya-dogazifikatsii-zhilykh-domov-v-snt/" TargetMode="External"/><Relationship Id="rId13" Type="http://schemas.openxmlformats.org/officeDocument/2006/relationships/hyperlink" Target="mailto::press66_rosreestr@mail.ru" TargetMode="External"/><Relationship Id="rId14" Type="http://schemas.openxmlformats.org/officeDocument/2006/relationships/hyperlink" Target="http://www.rosreestr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5</cp:revision>
  <dcterms:modified xsi:type="dcterms:W3CDTF">2026-02-12T06:03:15Z</dcterms:modified>
</cp:coreProperties>
</file>